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BA73" w14:textId="77777777" w:rsidR="00026AF0" w:rsidRPr="00026AF0" w:rsidRDefault="00026AF0" w:rsidP="00026AF0">
      <w:pPr>
        <w:pStyle w:val="NormalWeb"/>
        <w:spacing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6A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“Everyone has a right to a decent home” (Michael Gove, White Paper “A fairer private rented sector”).</w:t>
      </w:r>
    </w:p>
    <w:p w14:paraId="635AA225" w14:textId="0D01D719" w:rsidR="00026AF0" w:rsidRPr="00026AF0" w:rsidRDefault="00026AF0" w:rsidP="00026AF0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26AF0">
        <w:rPr>
          <w:rFonts w:asciiTheme="minorHAnsi" w:hAnsiTheme="minorHAnsi" w:cstheme="minorHAnsi"/>
          <w:color w:val="000000"/>
          <w:sz w:val="22"/>
          <w:szCs w:val="22"/>
        </w:rPr>
        <w:t>The Government has proposed a raft of reforms to residential property legislation, designed to overhaul the rights of both short- and long-term leaseholders. But could such reform give rise to unintended consequences that destabilise these sectors and squeeze the supply of affordable housing stock? Discuss. (500-word limit)</w:t>
      </w:r>
      <w:r w:rsidR="003B669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70B5383" w14:textId="77777777" w:rsidR="00026AF0" w:rsidRDefault="00026AF0" w:rsidP="00B05336">
      <w:pPr>
        <w:pBdr>
          <w:bottom w:val="single" w:sz="4" w:space="1" w:color="auto"/>
        </w:pBdr>
        <w:spacing w:after="0"/>
      </w:pPr>
    </w:p>
    <w:p w14:paraId="6919A563" w14:textId="77777777" w:rsidR="00B05336" w:rsidRDefault="00B05336" w:rsidP="00026AF0">
      <w:pPr>
        <w:spacing w:after="0"/>
      </w:pPr>
    </w:p>
    <w:p w14:paraId="6832517A" w14:textId="4387593D" w:rsidR="0023637F" w:rsidRDefault="00B05336" w:rsidP="00B05336">
      <w:pPr>
        <w:spacing w:after="0"/>
      </w:pPr>
      <w:r w:rsidRPr="00B05336">
        <w:t xml:space="preserve">On 24 July 2023, </w:t>
      </w:r>
      <w:r>
        <w:t>Michael Gov</w:t>
      </w:r>
      <w:r w:rsidR="00D147CD">
        <w:t>e</w:t>
      </w:r>
      <w:r>
        <w:t xml:space="preserve"> announced the government’s long-term plan for housing in England. </w:t>
      </w:r>
      <w:r w:rsidR="007F4FDF">
        <w:t>Central</w:t>
      </w:r>
      <w:r>
        <w:t xml:space="preserve"> to that plan were two principles, that the government </w:t>
      </w:r>
      <w:r w:rsidR="00D631AB">
        <w:t>would provide</w:t>
      </w:r>
      <w:r>
        <w:t xml:space="preserve"> “</w:t>
      </w:r>
      <w:r>
        <w:rPr>
          <w:i/>
          <w:iCs/>
        </w:rPr>
        <w:t>a new deal for tenants and landlords</w:t>
      </w:r>
      <w:r>
        <w:t xml:space="preserve">”, and that </w:t>
      </w:r>
      <w:r w:rsidR="007F4FDF">
        <w:t>it</w:t>
      </w:r>
      <w:r>
        <w:t xml:space="preserve"> </w:t>
      </w:r>
      <w:r w:rsidR="00D631AB">
        <w:t xml:space="preserve">would </w:t>
      </w:r>
      <w:r w:rsidR="00A33E0D">
        <w:t>establish</w:t>
      </w:r>
      <w:r>
        <w:t xml:space="preserve"> </w:t>
      </w:r>
      <w:r w:rsidR="007F4FDF">
        <w:t xml:space="preserve">a framework </w:t>
      </w:r>
      <w:r>
        <w:t>for “</w:t>
      </w:r>
      <w:r>
        <w:rPr>
          <w:i/>
          <w:iCs/>
        </w:rPr>
        <w:t>liberating leaseholders</w:t>
      </w:r>
      <w:r>
        <w:t>”.</w:t>
      </w:r>
      <w:r w:rsidR="001475FF">
        <w:rPr>
          <w:rStyle w:val="FootnoteReference"/>
        </w:rPr>
        <w:footnoteReference w:id="1"/>
      </w:r>
      <w:r>
        <w:t xml:space="preserve"> </w:t>
      </w:r>
    </w:p>
    <w:p w14:paraId="7C6BBF25" w14:textId="77777777" w:rsidR="0023637F" w:rsidRDefault="0023637F" w:rsidP="00B05336">
      <w:pPr>
        <w:spacing w:after="0"/>
      </w:pPr>
    </w:p>
    <w:p w14:paraId="36BEE6A3" w14:textId="5A845969" w:rsidR="007F4FDF" w:rsidRDefault="007F4FDF" w:rsidP="00B05336">
      <w:pPr>
        <w:spacing w:after="0"/>
      </w:pPr>
      <w:r>
        <w:t xml:space="preserve">A year on, those principles have been </w:t>
      </w:r>
      <w:r w:rsidR="0099012B">
        <w:t>captured</w:t>
      </w:r>
      <w:r>
        <w:t xml:space="preserve"> </w:t>
      </w:r>
      <w:r w:rsidR="0099012B">
        <w:t>by</w:t>
      </w:r>
      <w:r>
        <w:t xml:space="preserve"> two Parliamentary Bills with huge significance for short- and long-term leaseholders. The Renters (Reform) Bill and the Leasehold and Freehold Reform Bill</w:t>
      </w:r>
      <w:r w:rsidR="005C525D">
        <w:t xml:space="preserve"> both set out to address a dearth of recent legislation </w:t>
      </w:r>
      <w:r w:rsidR="00EC71B7">
        <w:t>directed towards</w:t>
      </w:r>
      <w:r w:rsidR="005C525D">
        <w:t xml:space="preserve"> the </w:t>
      </w:r>
      <w:r w:rsidR="00BC3B34">
        <w:t>housing crisis</w:t>
      </w:r>
      <w:r w:rsidR="00EC71B7">
        <w:t xml:space="preserve"> in England</w:t>
      </w:r>
      <w:r w:rsidR="005C525D">
        <w:t>. Indeed, fifteen Housing Ministers have come and gone since 2010, all against a backdrop of falling homeownership, rising homelessness, and shortfalls in housebuilding targets.</w:t>
      </w:r>
      <w:r w:rsidR="001475FF">
        <w:rPr>
          <w:rStyle w:val="FootnoteReference"/>
        </w:rPr>
        <w:footnoteReference w:id="2"/>
      </w:r>
      <w:r w:rsidR="005C525D">
        <w:t xml:space="preserve"> And yet, despite the</w:t>
      </w:r>
      <w:r w:rsidR="008A7BD0">
        <w:t>ir</w:t>
      </w:r>
      <w:r w:rsidR="005C525D">
        <w:t xml:space="preserve"> </w:t>
      </w:r>
      <w:r w:rsidR="003F2F68">
        <w:t xml:space="preserve">significance, </w:t>
      </w:r>
      <w:r w:rsidR="008B38F4">
        <w:t>many</w:t>
      </w:r>
      <w:r w:rsidR="00C00AB4">
        <w:t xml:space="preserve"> have </w:t>
      </w:r>
      <w:r w:rsidR="00EA5B6F">
        <w:t>warned of</w:t>
      </w:r>
      <w:r w:rsidR="00D631AB">
        <w:t xml:space="preserve"> </w:t>
      </w:r>
      <w:r w:rsidR="008A7BD0">
        <w:t>the Bills’</w:t>
      </w:r>
      <w:r w:rsidR="00C00AB4">
        <w:t xml:space="preserve"> </w:t>
      </w:r>
      <w:r w:rsidR="00A21999">
        <w:t>“</w:t>
      </w:r>
      <w:r w:rsidR="00C00AB4" w:rsidRPr="00A21999">
        <w:rPr>
          <w:i/>
          <w:iCs/>
        </w:rPr>
        <w:t>unintended consequences</w:t>
      </w:r>
      <w:r w:rsidR="00A21999">
        <w:t>”</w:t>
      </w:r>
      <w:r w:rsidR="00F440A7">
        <w:t xml:space="preserve">. </w:t>
      </w:r>
    </w:p>
    <w:p w14:paraId="7499852D" w14:textId="77777777" w:rsidR="007F4FDF" w:rsidRDefault="007F4FDF" w:rsidP="001362EA">
      <w:pPr>
        <w:spacing w:after="0"/>
      </w:pPr>
    </w:p>
    <w:p w14:paraId="688ABE43" w14:textId="180EC6F7" w:rsidR="00477F2F" w:rsidRDefault="001362EA" w:rsidP="00B05336">
      <w:pPr>
        <w:spacing w:after="0"/>
      </w:pPr>
      <w:r>
        <w:t>The</w:t>
      </w:r>
      <w:r w:rsidR="00BC3B34">
        <w:t xml:space="preserve"> headline proposals </w:t>
      </w:r>
      <w:r>
        <w:t xml:space="preserve">within the Renters (Reform) Bill </w:t>
      </w:r>
      <w:r w:rsidR="008B38F4">
        <w:t>are</w:t>
      </w:r>
      <w:r w:rsidR="00BC3B34">
        <w:t xml:space="preserve"> the removal of fixed</w:t>
      </w:r>
      <w:r w:rsidR="00775AF2">
        <w:t>-</w:t>
      </w:r>
      <w:r w:rsidR="00BC3B34">
        <w:t xml:space="preserve">term assured tenancies and the abolition of </w:t>
      </w:r>
      <w:r w:rsidR="00D147CD">
        <w:t>s.</w:t>
      </w:r>
      <w:r w:rsidR="00BC3B34">
        <w:t xml:space="preserve">21 no-fault evictions. </w:t>
      </w:r>
      <w:r w:rsidR="0099012B">
        <w:t>The</w:t>
      </w:r>
      <w:r w:rsidR="00BC3B34">
        <w:t xml:space="preserve"> policy considerations behind those proposals are </w:t>
      </w:r>
      <w:r w:rsidR="00A33E0D">
        <w:t>important</w:t>
      </w:r>
      <w:r w:rsidR="00BC3B34">
        <w:t xml:space="preserve">, to give </w:t>
      </w:r>
      <w:r w:rsidR="008B38F4">
        <w:t xml:space="preserve">short-term </w:t>
      </w:r>
      <w:r w:rsidR="00BC3B34">
        <w:t xml:space="preserve">tenants greater flexibility </w:t>
      </w:r>
      <w:r w:rsidR="001475FF">
        <w:t>while reducing</w:t>
      </w:r>
      <w:r w:rsidR="00D147CD">
        <w:t xml:space="preserve"> the </w:t>
      </w:r>
      <w:r w:rsidR="008B38F4">
        <w:t xml:space="preserve">growth in homelessness caused by </w:t>
      </w:r>
      <w:r w:rsidR="00A51CAA">
        <w:t xml:space="preserve">no-fault </w:t>
      </w:r>
      <w:r w:rsidR="008B38F4">
        <w:t>eviction</w:t>
      </w:r>
      <w:r w:rsidR="00EC71B7">
        <w:t>s</w:t>
      </w:r>
      <w:r w:rsidR="00D147CD">
        <w:t>.</w:t>
      </w:r>
      <w:r w:rsidR="00D147CD">
        <w:rPr>
          <w:rStyle w:val="FootnoteReference"/>
        </w:rPr>
        <w:footnoteReference w:id="3"/>
      </w:r>
      <w:r w:rsidR="00D147CD">
        <w:t xml:space="preserve"> </w:t>
      </w:r>
      <w:r w:rsidR="00EA5B6F">
        <w:t>However</w:t>
      </w:r>
      <w:r w:rsidR="00D147CD">
        <w:t>, the proposals are not without</w:t>
      </w:r>
      <w:r w:rsidR="001475FF">
        <w:t xml:space="preserve"> their</w:t>
      </w:r>
      <w:r w:rsidR="00D147CD">
        <w:t xml:space="preserve"> </w:t>
      </w:r>
      <w:r w:rsidR="008B38F4">
        <w:t>issues</w:t>
      </w:r>
      <w:r w:rsidR="00D147CD">
        <w:t xml:space="preserve">. </w:t>
      </w:r>
      <w:r w:rsidR="008B38F4">
        <w:t>In Parliament, concerns have been raised that the removal of fixed-term tenancies will “</w:t>
      </w:r>
      <w:r w:rsidR="008B38F4">
        <w:rPr>
          <w:i/>
          <w:iCs/>
        </w:rPr>
        <w:t>obliterate the long-term rental market</w:t>
      </w:r>
      <w:r w:rsidR="008B38F4">
        <w:t>”, with landlords struggling to reliably source tenants ahead of time.</w:t>
      </w:r>
      <w:r w:rsidR="008B38F4">
        <w:rPr>
          <w:rStyle w:val="FootnoteReference"/>
        </w:rPr>
        <w:footnoteReference w:id="4"/>
      </w:r>
      <w:r w:rsidR="008B38F4">
        <w:t xml:space="preserve"> Additionally, landlords </w:t>
      </w:r>
      <w:r w:rsidR="00A33E0D">
        <w:t>risk facing</w:t>
      </w:r>
      <w:r w:rsidR="008B38F4">
        <w:t xml:space="preserve"> an increased regulatory burden through the Bill’s proposals to extend the Decent Homes Standard and introduce a new ‘Property Portal’. </w:t>
      </w:r>
      <w:r w:rsidR="00A51CAA">
        <w:t>In response, m</w:t>
      </w:r>
      <w:r w:rsidR="008B38F4">
        <w:t>any landlords have left the rented sector or increased rents, squeezing the supply of affordable housing in the process.</w:t>
      </w:r>
      <w:r w:rsidR="00477F2F">
        <w:rPr>
          <w:rStyle w:val="FootnoteReference"/>
        </w:rPr>
        <w:footnoteReference w:id="5"/>
      </w:r>
      <w:r w:rsidR="00A51CAA">
        <w:t xml:space="preserve"> </w:t>
      </w:r>
    </w:p>
    <w:p w14:paraId="1EB3A9E7" w14:textId="77777777" w:rsidR="00477F2F" w:rsidRDefault="00477F2F" w:rsidP="00B05336">
      <w:pPr>
        <w:spacing w:after="0"/>
      </w:pPr>
    </w:p>
    <w:p w14:paraId="28A4BE90" w14:textId="6416B7E2" w:rsidR="00D147CD" w:rsidRDefault="004B395E" w:rsidP="00B05336">
      <w:pPr>
        <w:spacing w:after="0"/>
      </w:pPr>
      <w:r>
        <w:t>Further</w:t>
      </w:r>
      <w:r w:rsidR="008B38F4">
        <w:t xml:space="preserve">, </w:t>
      </w:r>
      <w:r w:rsidR="001475FF">
        <w:t xml:space="preserve">the government </w:t>
      </w:r>
      <w:r w:rsidR="008B38F4">
        <w:t xml:space="preserve">has </w:t>
      </w:r>
      <w:r w:rsidR="00EC71B7">
        <w:t>indicated</w:t>
      </w:r>
      <w:r w:rsidR="008B38F4">
        <w:t xml:space="preserve"> that it </w:t>
      </w:r>
      <w:r w:rsidR="007C11D0">
        <w:t>will not</w:t>
      </w:r>
      <w:r w:rsidR="001475FF">
        <w:t xml:space="preserve"> </w:t>
      </w:r>
      <w:r w:rsidR="008B38F4">
        <w:t>abolish</w:t>
      </w:r>
      <w:r w:rsidR="001475FF">
        <w:t xml:space="preserve"> s.21</w:t>
      </w:r>
      <w:r w:rsidR="008B38F4">
        <w:t xml:space="preserve"> </w:t>
      </w:r>
      <w:r w:rsidR="00D147CD">
        <w:t xml:space="preserve">until </w:t>
      </w:r>
      <w:r w:rsidR="00655570">
        <w:t xml:space="preserve">the court system has been reformed to </w:t>
      </w:r>
      <w:r w:rsidR="003458C3">
        <w:t>bear</w:t>
      </w:r>
      <w:r w:rsidR="0039305C">
        <w:t xml:space="preserve"> the </w:t>
      </w:r>
      <w:r>
        <w:t xml:space="preserve">added </w:t>
      </w:r>
      <w:r w:rsidR="0039305C">
        <w:t>st</w:t>
      </w:r>
      <w:r w:rsidR="00873411">
        <w:t xml:space="preserve">rain that </w:t>
      </w:r>
      <w:r w:rsidR="006B34BC">
        <w:t xml:space="preserve">the proposals </w:t>
      </w:r>
      <w:r>
        <w:t>may</w:t>
      </w:r>
      <w:r w:rsidR="006B34BC">
        <w:t xml:space="preserve"> cause</w:t>
      </w:r>
      <w:r w:rsidR="001475FF">
        <w:t>.</w:t>
      </w:r>
      <w:r w:rsidR="001475FF">
        <w:rPr>
          <w:rStyle w:val="FootnoteReference"/>
        </w:rPr>
        <w:footnoteReference w:id="6"/>
      </w:r>
      <w:r w:rsidR="00D147CD">
        <w:t xml:space="preserve"> </w:t>
      </w:r>
      <w:r w:rsidR="001475FF">
        <w:t xml:space="preserve">The Shadow Housing Minister </w:t>
      </w:r>
      <w:r w:rsidR="006B34BC">
        <w:t xml:space="preserve">has </w:t>
      </w:r>
      <w:r w:rsidR="001475FF">
        <w:t xml:space="preserve">criticised this decision, </w:t>
      </w:r>
      <w:r w:rsidR="001362EA">
        <w:t>remarking</w:t>
      </w:r>
      <w:r w:rsidR="001475FF">
        <w:t xml:space="preserve"> that s.21 reform</w:t>
      </w:r>
      <w:r w:rsidR="00A51CAA">
        <w:t>s</w:t>
      </w:r>
      <w:r w:rsidR="001475FF">
        <w:t xml:space="preserve"> </w:t>
      </w:r>
      <w:r w:rsidR="006B34BC">
        <w:t>are being</w:t>
      </w:r>
      <w:r w:rsidR="001475FF">
        <w:t xml:space="preserve"> “</w:t>
      </w:r>
      <w:r w:rsidR="001475FF">
        <w:rPr>
          <w:i/>
          <w:iCs/>
        </w:rPr>
        <w:t>kicked into the long-grass</w:t>
      </w:r>
      <w:r w:rsidR="001475FF">
        <w:t>”</w:t>
      </w:r>
      <w:r w:rsidR="001362EA">
        <w:t>.</w:t>
      </w:r>
      <w:r w:rsidR="00477F2F">
        <w:rPr>
          <w:rStyle w:val="FootnoteReference"/>
        </w:rPr>
        <w:footnoteReference w:id="7"/>
      </w:r>
      <w:r w:rsidR="00EC71B7">
        <w:t xml:space="preserve"> </w:t>
      </w:r>
    </w:p>
    <w:p w14:paraId="3A10ED73" w14:textId="77777777" w:rsidR="00EC71B7" w:rsidRDefault="00EC71B7" w:rsidP="00B05336">
      <w:pPr>
        <w:spacing w:after="0"/>
      </w:pPr>
    </w:p>
    <w:p w14:paraId="5208DE89" w14:textId="1158199D" w:rsidR="008E2164" w:rsidRPr="00A33E0D" w:rsidRDefault="00EC71B7" w:rsidP="00B05336">
      <w:pPr>
        <w:spacing w:after="0"/>
      </w:pPr>
      <w:r>
        <w:t xml:space="preserve">The reforms put forward by the Leasehold and Freehold Reform Bill are no less </w:t>
      </w:r>
      <w:r w:rsidR="00477F2F">
        <w:t>important</w:t>
      </w:r>
      <w:r>
        <w:t xml:space="preserve">. </w:t>
      </w:r>
      <w:r w:rsidR="003338BC">
        <w:t xml:space="preserve">The </w:t>
      </w:r>
      <w:r w:rsidR="008C4FDF">
        <w:t xml:space="preserve">Bill </w:t>
      </w:r>
      <w:r w:rsidR="003338BC">
        <w:t>mak</w:t>
      </w:r>
      <w:r w:rsidR="008C4FDF">
        <w:t>e</w:t>
      </w:r>
      <w:r w:rsidR="00D17877">
        <w:t>s</w:t>
      </w:r>
      <w:r w:rsidR="003338BC">
        <w:t xml:space="preserve"> it easier for leaseholders to extend their lease</w:t>
      </w:r>
      <w:r w:rsidR="008C4FDF">
        <w:t>,</w:t>
      </w:r>
      <w:r w:rsidR="003338BC">
        <w:t xml:space="preserve"> to buy the freehold</w:t>
      </w:r>
      <w:r w:rsidR="008C4FDF">
        <w:t xml:space="preserve">, and to take over </w:t>
      </w:r>
      <w:r w:rsidR="008C4FDF">
        <w:lastRenderedPageBreak/>
        <w:t>management of their building.</w:t>
      </w:r>
      <w:r w:rsidR="008C4FDF">
        <w:rPr>
          <w:rStyle w:val="FootnoteReference"/>
        </w:rPr>
        <w:footnoteReference w:id="8"/>
      </w:r>
      <w:r w:rsidR="0099012B">
        <w:t xml:space="preserve"> It also proposes to remove marriage value from the statutory valuation scheme</w:t>
      </w:r>
      <w:r w:rsidR="00A33E0D">
        <w:t>.</w:t>
      </w:r>
      <w:r w:rsidR="00A33E0D">
        <w:rPr>
          <w:rStyle w:val="FootnoteReference"/>
        </w:rPr>
        <w:footnoteReference w:id="9"/>
      </w:r>
      <w:r w:rsidR="00A33E0D">
        <w:t xml:space="preserve"> </w:t>
      </w:r>
      <w:r w:rsidR="008E2164">
        <w:t>On the one hand, t</w:t>
      </w:r>
      <w:r w:rsidR="008C4FDF">
        <w:t xml:space="preserve">hese reforms </w:t>
      </w:r>
      <w:r w:rsidR="00EA5B6F">
        <w:t xml:space="preserve">mark a </w:t>
      </w:r>
      <w:r w:rsidR="00477F2F">
        <w:t>significant</w:t>
      </w:r>
      <w:r w:rsidR="00EA5B6F">
        <w:t xml:space="preserve"> step</w:t>
      </w:r>
      <w:r w:rsidR="008C4FDF">
        <w:t xml:space="preserve"> towards addressing “</w:t>
      </w:r>
      <w:r w:rsidR="008C4FDF">
        <w:rPr>
          <w:i/>
          <w:iCs/>
        </w:rPr>
        <w:t>the historic imbalances between leaseholder and freeholder</w:t>
      </w:r>
      <w:r w:rsidR="008C4FDF">
        <w:t>”.</w:t>
      </w:r>
      <w:r w:rsidR="008C4FDF">
        <w:rPr>
          <w:rStyle w:val="FootnoteReference"/>
        </w:rPr>
        <w:footnoteReference w:id="10"/>
      </w:r>
      <w:r w:rsidR="008C4FDF">
        <w:t xml:space="preserve"> </w:t>
      </w:r>
      <w:r w:rsidR="008E2164">
        <w:t xml:space="preserve">On the other, </w:t>
      </w:r>
      <w:r w:rsidR="00EA5B6F">
        <w:t>they threaten to</w:t>
      </w:r>
      <w:r w:rsidR="008E2164">
        <w:t xml:space="preserve"> destabilise the rented property sector. For example, despite a cross-party consensus that the </w:t>
      </w:r>
      <w:r w:rsidR="00EA5B6F">
        <w:t>reforms</w:t>
      </w:r>
      <w:r w:rsidR="008E2164">
        <w:t xml:space="preserve"> </w:t>
      </w:r>
      <w:r w:rsidR="00EA5B6F">
        <w:t>will</w:t>
      </w:r>
      <w:r w:rsidR="008E2164">
        <w:t xml:space="preserve"> favour a commonhold framework of homeownership, </w:t>
      </w:r>
      <w:r w:rsidR="00EA5B6F">
        <w:t>there are no provisions within the Bill which specifically cater for a commonhold system.</w:t>
      </w:r>
      <w:r w:rsidR="00EA5B6F">
        <w:rPr>
          <w:rStyle w:val="FootnoteReference"/>
        </w:rPr>
        <w:footnoteReference w:id="11"/>
      </w:r>
      <w:r w:rsidR="00EA5B6F">
        <w:t xml:space="preserve"> </w:t>
      </w:r>
      <w:r w:rsidR="00A33E0D">
        <w:t xml:space="preserve">Similarly, the marriage value </w:t>
      </w:r>
      <w:r w:rsidR="00D56AFC">
        <w:t xml:space="preserve">proposal </w:t>
      </w:r>
      <w:r w:rsidR="00A33E0D">
        <w:t>ha</w:t>
      </w:r>
      <w:r w:rsidR="00522334">
        <w:t>s</w:t>
      </w:r>
      <w:r w:rsidR="00A33E0D">
        <w:t xml:space="preserve"> been criticised as a “</w:t>
      </w:r>
      <w:r w:rsidR="00A33E0D">
        <w:rPr>
          <w:i/>
          <w:iCs/>
        </w:rPr>
        <w:t>one-off windfall profit</w:t>
      </w:r>
      <w:r w:rsidR="00A33E0D">
        <w:t xml:space="preserve">” for leaseholders which could </w:t>
      </w:r>
      <w:r w:rsidR="00477F2F">
        <w:t>deter</w:t>
      </w:r>
      <w:r w:rsidR="00A33E0D">
        <w:t xml:space="preserve"> landlords from operating in the sector.</w:t>
      </w:r>
      <w:r w:rsidR="007500B6">
        <w:rPr>
          <w:rStyle w:val="FootnoteReference"/>
        </w:rPr>
        <w:footnoteReference w:id="12"/>
      </w:r>
    </w:p>
    <w:p w14:paraId="001F6D84" w14:textId="77777777" w:rsidR="008E2164" w:rsidRDefault="008E2164" w:rsidP="00B05336">
      <w:pPr>
        <w:spacing w:after="0"/>
      </w:pPr>
    </w:p>
    <w:p w14:paraId="147661E5" w14:textId="2362B896" w:rsidR="00A919E5" w:rsidRDefault="00477F2F" w:rsidP="00477F2F">
      <w:pPr>
        <w:spacing w:after="0"/>
      </w:pPr>
      <w:r>
        <w:t xml:space="preserve">Ultimately, </w:t>
      </w:r>
      <w:r w:rsidR="00522334">
        <w:t xml:space="preserve">at the time of writing, both Bills face an uphill battle to pass </w:t>
      </w:r>
      <w:r w:rsidR="006E56CE">
        <w:t xml:space="preserve">during Parliament’s ‘wash-up period’ before the General Election on 4 July. </w:t>
      </w:r>
      <w:r w:rsidR="00A919E5">
        <w:t xml:space="preserve">It remains to be seen whether the Conservatives will </w:t>
      </w:r>
      <w:r w:rsidR="00D56AFC">
        <w:t>remain committed</w:t>
      </w:r>
      <w:r w:rsidR="00A919E5">
        <w:t xml:space="preserve"> to leasehold reform if they stay in power. </w:t>
      </w:r>
      <w:r w:rsidR="00D56AFC">
        <w:t>However, s</w:t>
      </w:r>
      <w:r w:rsidR="00A919E5">
        <w:t xml:space="preserve">hould Labour </w:t>
      </w:r>
      <w:r w:rsidR="00D56AFC">
        <w:t>win</w:t>
      </w:r>
      <w:r w:rsidR="00A919E5">
        <w:t xml:space="preserve">, then there are already </w:t>
      </w:r>
      <w:r w:rsidR="00D56AFC">
        <w:t>signs</w:t>
      </w:r>
      <w:r w:rsidR="00A919E5">
        <w:t xml:space="preserve"> that they will </w:t>
      </w:r>
      <w:r w:rsidR="00D56AFC">
        <w:t>progress</w:t>
      </w:r>
      <w:r w:rsidR="00A919E5">
        <w:t xml:space="preserve"> the </w:t>
      </w:r>
      <w:r w:rsidR="00D56AFC">
        <w:t>reforms</w:t>
      </w:r>
      <w:r w:rsidR="00A919E5">
        <w:t xml:space="preserve">, if not take them further. </w:t>
      </w:r>
    </w:p>
    <w:p w14:paraId="4C92C115" w14:textId="77777777" w:rsidR="00A919E5" w:rsidRDefault="00A919E5" w:rsidP="00477F2F">
      <w:pPr>
        <w:spacing w:after="0"/>
      </w:pPr>
    </w:p>
    <w:p w14:paraId="08B82EC2" w14:textId="3EC879D1" w:rsidR="00A919E5" w:rsidRPr="006738F9" w:rsidRDefault="00D17877" w:rsidP="00026AF0">
      <w:pPr>
        <w:spacing w:after="0"/>
        <w:rPr>
          <w:b/>
          <w:bCs/>
        </w:rPr>
      </w:pPr>
      <w:r>
        <w:rPr>
          <w:b/>
          <w:bCs/>
        </w:rPr>
        <w:t>Words: 500</w:t>
      </w:r>
    </w:p>
    <w:sectPr w:rsidR="00A919E5" w:rsidRPr="006738F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9D95" w14:textId="77777777" w:rsidR="00171083" w:rsidRDefault="00171083" w:rsidP="00171083">
      <w:pPr>
        <w:spacing w:after="0" w:line="240" w:lineRule="auto"/>
      </w:pPr>
      <w:r>
        <w:separator/>
      </w:r>
    </w:p>
  </w:endnote>
  <w:endnote w:type="continuationSeparator" w:id="0">
    <w:p w14:paraId="6A572ACF" w14:textId="77777777" w:rsidR="00171083" w:rsidRDefault="00171083" w:rsidP="0017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CB02" w14:textId="77777777" w:rsidR="00171083" w:rsidRDefault="00171083" w:rsidP="00171083">
      <w:pPr>
        <w:spacing w:after="0" w:line="240" w:lineRule="auto"/>
      </w:pPr>
      <w:r>
        <w:separator/>
      </w:r>
    </w:p>
  </w:footnote>
  <w:footnote w:type="continuationSeparator" w:id="0">
    <w:p w14:paraId="42A13344" w14:textId="77777777" w:rsidR="00171083" w:rsidRDefault="00171083" w:rsidP="00171083">
      <w:pPr>
        <w:spacing w:after="0" w:line="240" w:lineRule="auto"/>
      </w:pPr>
      <w:r>
        <w:continuationSeparator/>
      </w:r>
    </w:p>
  </w:footnote>
  <w:footnote w:id="1">
    <w:p w14:paraId="63E1B3A0" w14:textId="1450F2C9" w:rsidR="001475FF" w:rsidRDefault="001475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6E56CE" w:rsidRPr="00A66DCC">
          <w:rPr>
            <w:rStyle w:val="Hyperlink"/>
          </w:rPr>
          <w:t>https://www.gov.uk/government/speeches/long-term-plan-for-housing-secretary-of-states-speech</w:t>
        </w:r>
      </w:hyperlink>
      <w:r w:rsidR="006E56CE">
        <w:t xml:space="preserve"> </w:t>
      </w:r>
    </w:p>
  </w:footnote>
  <w:footnote w:id="2">
    <w:p w14:paraId="322112C2" w14:textId="1D1BFD80" w:rsidR="001475FF" w:rsidRDefault="001475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987921" w:rsidRPr="00A66DCC">
          <w:rPr>
            <w:rStyle w:val="Hyperlink"/>
          </w:rPr>
          <w:t>https://www.bbc.co.uk/news/uk-politics-64555909</w:t>
        </w:r>
      </w:hyperlink>
      <w:r w:rsidR="00987921">
        <w:t xml:space="preserve"> </w:t>
      </w:r>
      <w:r w:rsidR="008A7BD0">
        <w:t xml:space="preserve">, </w:t>
      </w:r>
      <w:hyperlink r:id="rId3" w:history="1">
        <w:r w:rsidR="00B50128" w:rsidRPr="00A66DCC">
          <w:rPr>
            <w:rStyle w:val="Hyperlink"/>
          </w:rPr>
          <w:t>https://www.bbc.co.uk/news/61407508</w:t>
        </w:r>
      </w:hyperlink>
      <w:r w:rsidR="00B50128">
        <w:t xml:space="preserve"> </w:t>
      </w:r>
    </w:p>
  </w:footnote>
  <w:footnote w:id="3">
    <w:p w14:paraId="736DF1F4" w14:textId="611579A5" w:rsidR="00D147CD" w:rsidRDefault="00D147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1427A">
          <w:rPr>
            <w:rStyle w:val="Hyperlink"/>
          </w:rPr>
          <w:t>https://www.ft.com/content/565880ad-c0d0-4a70-a6b7-189feb41f805</w:t>
        </w:r>
      </w:hyperlink>
    </w:p>
  </w:footnote>
  <w:footnote w:id="4">
    <w:p w14:paraId="49E3EBB9" w14:textId="67336482" w:rsidR="008B38F4" w:rsidRDefault="008B38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50128">
        <w:t xml:space="preserve">Speech by Anthony </w:t>
      </w:r>
      <w:proofErr w:type="spellStart"/>
      <w:r w:rsidR="00B50128">
        <w:t>Mangnall</w:t>
      </w:r>
      <w:proofErr w:type="spellEnd"/>
      <w:r w:rsidR="00B50128">
        <w:t xml:space="preserve"> MP during </w:t>
      </w:r>
      <w:r w:rsidR="00BD5567">
        <w:t xml:space="preserve">Second Reading of Renters (Reform) Bill in House of Commons on 23 October 2023, </w:t>
      </w:r>
      <w:hyperlink r:id="rId5" w:history="1">
        <w:r w:rsidR="00BD5567" w:rsidRPr="00A66DCC">
          <w:rPr>
            <w:rStyle w:val="Hyperlink"/>
          </w:rPr>
          <w:t>https://hansard.parliament.uk/commons/2023-10-23/debates/E9FEB6DF-B896-4579-918F-8E99F7A35AAD/Renters(Reform)Bill</w:t>
        </w:r>
      </w:hyperlink>
      <w:r w:rsidR="00BD5567">
        <w:t xml:space="preserve"> </w:t>
      </w:r>
    </w:p>
  </w:footnote>
  <w:footnote w:id="5">
    <w:p w14:paraId="3A7D98CA" w14:textId="75DB8308" w:rsidR="00477F2F" w:rsidRDefault="00477F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="00E551B0" w:rsidRPr="00A66DCC">
          <w:rPr>
            <w:rStyle w:val="Hyperlink"/>
          </w:rPr>
          <w:t>https://www.cla.org.uk/news/loss-of-rural-properties-projected-cla-english-housing-survey-results/</w:t>
        </w:r>
      </w:hyperlink>
      <w:r w:rsidR="00E551B0">
        <w:t xml:space="preserve"> </w:t>
      </w:r>
    </w:p>
  </w:footnote>
  <w:footnote w:id="6">
    <w:p w14:paraId="14C46C35" w14:textId="2F2E8B2A" w:rsidR="001475FF" w:rsidRDefault="001475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8243ED">
          <w:rPr>
            <w:rStyle w:val="Hyperlink"/>
          </w:rPr>
          <w:t>https://propertyindustryeye.com/renters-reform-bill-leaked-letter-leads-to-accusation-of-disgraceful-betrayal/</w:t>
        </w:r>
      </w:hyperlink>
      <w:r>
        <w:t xml:space="preserve"> </w:t>
      </w:r>
    </w:p>
  </w:footnote>
  <w:footnote w:id="7">
    <w:p w14:paraId="6BD63225" w14:textId="4EB9A713" w:rsidR="00477F2F" w:rsidRDefault="00477F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="002129F7" w:rsidRPr="00A66DCC">
          <w:rPr>
            <w:rStyle w:val="Hyperlink"/>
          </w:rPr>
          <w:t>https://www.ft.com/content/1b83628f-c7ce-4ebb-9f53-1c4bfe79959e</w:t>
        </w:r>
      </w:hyperlink>
      <w:r w:rsidR="002129F7">
        <w:t xml:space="preserve"> </w:t>
      </w:r>
    </w:p>
  </w:footnote>
  <w:footnote w:id="8">
    <w:p w14:paraId="385D1E9B" w14:textId="44F9D016" w:rsidR="008C4FDF" w:rsidRDefault="008C4F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DD0DA1">
          <w:rPr>
            <w:rStyle w:val="Hyperlink"/>
          </w:rPr>
          <w:t>https://www.johnhodge.co.uk/site/blog/conveyancing/the-leasehold-and-freehold-reform-bill-a-new-dawn-or-a-missed-op</w:t>
        </w:r>
      </w:hyperlink>
      <w:r>
        <w:t xml:space="preserve"> </w:t>
      </w:r>
    </w:p>
  </w:footnote>
  <w:footnote w:id="9">
    <w:p w14:paraId="69E86F81" w14:textId="5A2DC6B9" w:rsidR="00A33E0D" w:rsidRDefault="00A33E0D">
      <w:pPr>
        <w:pStyle w:val="FootnoteText"/>
      </w:pPr>
      <w:r>
        <w:rPr>
          <w:rStyle w:val="FootnoteReference"/>
        </w:rPr>
        <w:footnoteRef/>
      </w:r>
      <w:r>
        <w:t xml:space="preserve"> Leasehold and Freehold Reform Bill, as amended at 1 May 2024 following Committee Stage in the House of Lords.  </w:t>
      </w:r>
    </w:p>
  </w:footnote>
  <w:footnote w:id="10">
    <w:p w14:paraId="1FDE4F6B" w14:textId="5393FE9D" w:rsidR="008C4FDF" w:rsidRDefault="008C4F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DD0DA1">
          <w:rPr>
            <w:rStyle w:val="Hyperlink"/>
          </w:rPr>
          <w:t>https://www.gov.uk/government/news/leasehold-reforms-give-more-rights-and-protections-to-homeowners</w:t>
        </w:r>
      </w:hyperlink>
      <w:r>
        <w:t xml:space="preserve"> </w:t>
      </w:r>
    </w:p>
  </w:footnote>
  <w:footnote w:id="11">
    <w:p w14:paraId="5DC68D85" w14:textId="2A1CFFDB" w:rsidR="00EA5B6F" w:rsidRDefault="00EA5B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1" w:history="1">
        <w:r w:rsidRPr="00DD0DA1">
          <w:rPr>
            <w:rStyle w:val="Hyperlink"/>
          </w:rPr>
          <w:t>https://hansard.parliament.uk/lords/2024-04-22/debates/2A433C7B-A65D-4149-94BE-923D615BBCB4/LeaseholdAndFreeholdReformBill</w:t>
        </w:r>
      </w:hyperlink>
      <w:r>
        <w:t xml:space="preserve"> </w:t>
      </w:r>
    </w:p>
  </w:footnote>
  <w:footnote w:id="12">
    <w:p w14:paraId="7BDB65C3" w14:textId="22E91E5E" w:rsidR="007500B6" w:rsidRDefault="007500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2" w:history="1">
        <w:r w:rsidRPr="004A09AD">
          <w:rPr>
            <w:rStyle w:val="Hyperlink"/>
          </w:rPr>
          <w:t>https://www.egi.co.uk/legal/a-wedding-gift-for-the-wealthy/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AD23" w14:textId="77777777" w:rsidR="003D2267" w:rsidRDefault="00171083">
    <w:pPr>
      <w:pStyle w:val="Header"/>
    </w:pPr>
    <w:r>
      <w:t>Connor Rutherford</w:t>
    </w:r>
    <w:r w:rsidR="00172E98">
      <w:t xml:space="preserve"> </w:t>
    </w:r>
  </w:p>
  <w:p w14:paraId="55B29C47" w14:textId="57734041" w:rsidR="003D2267" w:rsidRDefault="007500B6">
    <w:pPr>
      <w:pStyle w:val="Header"/>
    </w:pPr>
    <w:hyperlink r:id="rId1" w:history="1">
      <w:r w:rsidR="003D2267" w:rsidRPr="005C0325">
        <w:rPr>
          <w:rStyle w:val="Hyperlink"/>
        </w:rPr>
        <w:t>connor.rutherford@forsters.co.uk</w:t>
      </w:r>
    </w:hyperlink>
  </w:p>
  <w:p w14:paraId="65476C0F" w14:textId="54A9CFC8" w:rsidR="00171083" w:rsidRDefault="003D2267">
    <w:pPr>
      <w:pStyle w:val="Header"/>
    </w:pPr>
    <w:r>
      <w:t xml:space="preserve">Forsters LLP, </w:t>
    </w:r>
    <w:r w:rsidR="00172E98">
      <w:t>22 Baker Street, London, W1U 3BW</w:t>
    </w:r>
  </w:p>
  <w:p w14:paraId="4D6EA3D2" w14:textId="77777777" w:rsidR="003D2267" w:rsidRDefault="003D2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418"/>
    <w:multiLevelType w:val="hybridMultilevel"/>
    <w:tmpl w:val="4050B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0BA8"/>
    <w:multiLevelType w:val="hybridMultilevel"/>
    <w:tmpl w:val="E6760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E08"/>
    <w:multiLevelType w:val="hybridMultilevel"/>
    <w:tmpl w:val="BA40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2420"/>
    <w:multiLevelType w:val="hybridMultilevel"/>
    <w:tmpl w:val="B0EA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09D8"/>
    <w:multiLevelType w:val="hybridMultilevel"/>
    <w:tmpl w:val="C6CA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37626"/>
    <w:multiLevelType w:val="hybridMultilevel"/>
    <w:tmpl w:val="2E8CF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3E94"/>
    <w:multiLevelType w:val="hybridMultilevel"/>
    <w:tmpl w:val="C9A418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35DFF"/>
    <w:multiLevelType w:val="hybridMultilevel"/>
    <w:tmpl w:val="13E82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14A60"/>
    <w:multiLevelType w:val="hybridMultilevel"/>
    <w:tmpl w:val="30708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00D4"/>
    <w:multiLevelType w:val="hybridMultilevel"/>
    <w:tmpl w:val="F1609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E2029"/>
    <w:multiLevelType w:val="hybridMultilevel"/>
    <w:tmpl w:val="1DCC6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B3764"/>
    <w:multiLevelType w:val="hybridMultilevel"/>
    <w:tmpl w:val="89D2D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1378A"/>
    <w:multiLevelType w:val="hybridMultilevel"/>
    <w:tmpl w:val="F470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696D"/>
    <w:multiLevelType w:val="hybridMultilevel"/>
    <w:tmpl w:val="575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B6ECE"/>
    <w:multiLevelType w:val="hybridMultilevel"/>
    <w:tmpl w:val="366E9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31EE2"/>
    <w:multiLevelType w:val="hybridMultilevel"/>
    <w:tmpl w:val="1C10F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B0CFD"/>
    <w:multiLevelType w:val="hybridMultilevel"/>
    <w:tmpl w:val="FEEE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F11AB"/>
    <w:multiLevelType w:val="hybridMultilevel"/>
    <w:tmpl w:val="0FD84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C05D0"/>
    <w:multiLevelType w:val="hybridMultilevel"/>
    <w:tmpl w:val="34062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416E"/>
    <w:multiLevelType w:val="hybridMultilevel"/>
    <w:tmpl w:val="BFB414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467F9"/>
    <w:multiLevelType w:val="hybridMultilevel"/>
    <w:tmpl w:val="1472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C1E78"/>
    <w:multiLevelType w:val="hybridMultilevel"/>
    <w:tmpl w:val="F208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74874"/>
    <w:multiLevelType w:val="hybridMultilevel"/>
    <w:tmpl w:val="F3FC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718FB"/>
    <w:multiLevelType w:val="hybridMultilevel"/>
    <w:tmpl w:val="0F965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E4D7C"/>
    <w:multiLevelType w:val="hybridMultilevel"/>
    <w:tmpl w:val="87B471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630E5"/>
    <w:multiLevelType w:val="hybridMultilevel"/>
    <w:tmpl w:val="062E783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6F74159"/>
    <w:multiLevelType w:val="hybridMultilevel"/>
    <w:tmpl w:val="7DEC5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7523A"/>
    <w:multiLevelType w:val="hybridMultilevel"/>
    <w:tmpl w:val="691CD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90855"/>
    <w:multiLevelType w:val="hybridMultilevel"/>
    <w:tmpl w:val="C6D0C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5117">
    <w:abstractNumId w:val="16"/>
  </w:num>
  <w:num w:numId="2" w16cid:durableId="1354726491">
    <w:abstractNumId w:val="3"/>
  </w:num>
  <w:num w:numId="3" w16cid:durableId="251663552">
    <w:abstractNumId w:val="11"/>
  </w:num>
  <w:num w:numId="4" w16cid:durableId="171452805">
    <w:abstractNumId w:val="27"/>
  </w:num>
  <w:num w:numId="5" w16cid:durableId="1795441027">
    <w:abstractNumId w:val="25"/>
  </w:num>
  <w:num w:numId="6" w16cid:durableId="271085629">
    <w:abstractNumId w:val="8"/>
  </w:num>
  <w:num w:numId="7" w16cid:durableId="419835129">
    <w:abstractNumId w:val="5"/>
  </w:num>
  <w:num w:numId="8" w16cid:durableId="1033113175">
    <w:abstractNumId w:val="19"/>
  </w:num>
  <w:num w:numId="9" w16cid:durableId="1192064317">
    <w:abstractNumId w:val="7"/>
  </w:num>
  <w:num w:numId="10" w16cid:durableId="1060448049">
    <w:abstractNumId w:val="10"/>
  </w:num>
  <w:num w:numId="11" w16cid:durableId="1591891870">
    <w:abstractNumId w:val="1"/>
  </w:num>
  <w:num w:numId="12" w16cid:durableId="1000543202">
    <w:abstractNumId w:val="24"/>
  </w:num>
  <w:num w:numId="13" w16cid:durableId="1034960036">
    <w:abstractNumId w:val="6"/>
  </w:num>
  <w:num w:numId="14" w16cid:durableId="714155280">
    <w:abstractNumId w:val="28"/>
  </w:num>
  <w:num w:numId="15" w16cid:durableId="36249338">
    <w:abstractNumId w:val="0"/>
  </w:num>
  <w:num w:numId="16" w16cid:durableId="537547690">
    <w:abstractNumId w:val="23"/>
  </w:num>
  <w:num w:numId="17" w16cid:durableId="1657145729">
    <w:abstractNumId w:val="17"/>
  </w:num>
  <w:num w:numId="18" w16cid:durableId="693386327">
    <w:abstractNumId w:val="4"/>
  </w:num>
  <w:num w:numId="19" w16cid:durableId="124353713">
    <w:abstractNumId w:val="22"/>
  </w:num>
  <w:num w:numId="20" w16cid:durableId="1330478927">
    <w:abstractNumId w:val="14"/>
  </w:num>
  <w:num w:numId="21" w16cid:durableId="489752395">
    <w:abstractNumId w:val="26"/>
  </w:num>
  <w:num w:numId="22" w16cid:durableId="1867517874">
    <w:abstractNumId w:val="18"/>
  </w:num>
  <w:num w:numId="23" w16cid:durableId="1567109839">
    <w:abstractNumId w:val="21"/>
  </w:num>
  <w:num w:numId="24" w16cid:durableId="1806002481">
    <w:abstractNumId w:val="13"/>
  </w:num>
  <w:num w:numId="25" w16cid:durableId="326784010">
    <w:abstractNumId w:val="15"/>
  </w:num>
  <w:num w:numId="26" w16cid:durableId="310525584">
    <w:abstractNumId w:val="20"/>
  </w:num>
  <w:num w:numId="27" w16cid:durableId="1688671384">
    <w:abstractNumId w:val="9"/>
  </w:num>
  <w:num w:numId="28" w16cid:durableId="351683908">
    <w:abstractNumId w:val="2"/>
  </w:num>
  <w:num w:numId="29" w16cid:durableId="44641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0"/>
    <w:rsid w:val="0001547C"/>
    <w:rsid w:val="000242F8"/>
    <w:rsid w:val="00026AF0"/>
    <w:rsid w:val="000B29F0"/>
    <w:rsid w:val="000E5623"/>
    <w:rsid w:val="001362EA"/>
    <w:rsid w:val="00147474"/>
    <w:rsid w:val="001475FF"/>
    <w:rsid w:val="0015679B"/>
    <w:rsid w:val="00171083"/>
    <w:rsid w:val="00172E98"/>
    <w:rsid w:val="00173681"/>
    <w:rsid w:val="00174763"/>
    <w:rsid w:val="002129F7"/>
    <w:rsid w:val="0022796D"/>
    <w:rsid w:val="0023637F"/>
    <w:rsid w:val="00275F63"/>
    <w:rsid w:val="002B0786"/>
    <w:rsid w:val="002C1AA1"/>
    <w:rsid w:val="002C1F24"/>
    <w:rsid w:val="003135B6"/>
    <w:rsid w:val="003338BC"/>
    <w:rsid w:val="00343D5F"/>
    <w:rsid w:val="003458C3"/>
    <w:rsid w:val="0039305C"/>
    <w:rsid w:val="003B669D"/>
    <w:rsid w:val="003C7B1C"/>
    <w:rsid w:val="003D2267"/>
    <w:rsid w:val="003F2F68"/>
    <w:rsid w:val="00407902"/>
    <w:rsid w:val="00410599"/>
    <w:rsid w:val="00437E32"/>
    <w:rsid w:val="00477F2F"/>
    <w:rsid w:val="004A0497"/>
    <w:rsid w:val="004A3035"/>
    <w:rsid w:val="004B395E"/>
    <w:rsid w:val="004B7209"/>
    <w:rsid w:val="004C100D"/>
    <w:rsid w:val="0051155E"/>
    <w:rsid w:val="00522334"/>
    <w:rsid w:val="005574F9"/>
    <w:rsid w:val="005C525D"/>
    <w:rsid w:val="005D3DD0"/>
    <w:rsid w:val="00605339"/>
    <w:rsid w:val="006128D0"/>
    <w:rsid w:val="00655570"/>
    <w:rsid w:val="006567B5"/>
    <w:rsid w:val="006738F9"/>
    <w:rsid w:val="00680848"/>
    <w:rsid w:val="006B34BC"/>
    <w:rsid w:val="006E56CE"/>
    <w:rsid w:val="00724503"/>
    <w:rsid w:val="007364D2"/>
    <w:rsid w:val="0074052B"/>
    <w:rsid w:val="007500B6"/>
    <w:rsid w:val="00775AF2"/>
    <w:rsid w:val="007805E2"/>
    <w:rsid w:val="007827FD"/>
    <w:rsid w:val="00787B34"/>
    <w:rsid w:val="00794F92"/>
    <w:rsid w:val="007A3A76"/>
    <w:rsid w:val="007C11D0"/>
    <w:rsid w:val="007F3F5F"/>
    <w:rsid w:val="007F4FDF"/>
    <w:rsid w:val="008733EA"/>
    <w:rsid w:val="00873411"/>
    <w:rsid w:val="008A7BD0"/>
    <w:rsid w:val="008B38F4"/>
    <w:rsid w:val="008C4FDF"/>
    <w:rsid w:val="008E2164"/>
    <w:rsid w:val="00944046"/>
    <w:rsid w:val="00966CA8"/>
    <w:rsid w:val="00987921"/>
    <w:rsid w:val="0099012B"/>
    <w:rsid w:val="009D43CF"/>
    <w:rsid w:val="00A21999"/>
    <w:rsid w:val="00A33E0D"/>
    <w:rsid w:val="00A43004"/>
    <w:rsid w:val="00A51CAA"/>
    <w:rsid w:val="00A919E5"/>
    <w:rsid w:val="00B017F0"/>
    <w:rsid w:val="00B05336"/>
    <w:rsid w:val="00B37BD9"/>
    <w:rsid w:val="00B50128"/>
    <w:rsid w:val="00B857AF"/>
    <w:rsid w:val="00BC0CDE"/>
    <w:rsid w:val="00BC3B34"/>
    <w:rsid w:val="00BC40B2"/>
    <w:rsid w:val="00BD185D"/>
    <w:rsid w:val="00BD5567"/>
    <w:rsid w:val="00C00AB4"/>
    <w:rsid w:val="00C01027"/>
    <w:rsid w:val="00C15AD1"/>
    <w:rsid w:val="00C3117B"/>
    <w:rsid w:val="00C33DB4"/>
    <w:rsid w:val="00D147CD"/>
    <w:rsid w:val="00D17877"/>
    <w:rsid w:val="00D30881"/>
    <w:rsid w:val="00D414C5"/>
    <w:rsid w:val="00D476F1"/>
    <w:rsid w:val="00D56AFC"/>
    <w:rsid w:val="00D631AB"/>
    <w:rsid w:val="00D74E10"/>
    <w:rsid w:val="00E235EF"/>
    <w:rsid w:val="00E551B0"/>
    <w:rsid w:val="00E76164"/>
    <w:rsid w:val="00EA5B6F"/>
    <w:rsid w:val="00EC71B7"/>
    <w:rsid w:val="00F210B6"/>
    <w:rsid w:val="00F440A7"/>
    <w:rsid w:val="00F7374B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AB11A"/>
  <w15:chartTrackingRefBased/>
  <w15:docId w15:val="{BDE337FC-E69C-4B3F-BB54-CD0BD40A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7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83"/>
  </w:style>
  <w:style w:type="paragraph" w:styleId="Footer">
    <w:name w:val="footer"/>
    <w:basedOn w:val="Normal"/>
    <w:link w:val="FooterChar"/>
    <w:uiPriority w:val="99"/>
    <w:unhideWhenUsed/>
    <w:rsid w:val="0017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83"/>
  </w:style>
  <w:style w:type="character" w:styleId="Hyperlink">
    <w:name w:val="Hyperlink"/>
    <w:basedOn w:val="DefaultParagraphFont"/>
    <w:uiPriority w:val="99"/>
    <w:unhideWhenUsed/>
    <w:rsid w:val="003D2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2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40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3F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F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3F5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4F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A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com/content/1b83628f-c7ce-4ebb-9f53-1c4bfe79959e" TargetMode="External"/><Relationship Id="rId3" Type="http://schemas.openxmlformats.org/officeDocument/2006/relationships/hyperlink" Target="https://www.bbc.co.uk/news/61407508" TargetMode="External"/><Relationship Id="rId7" Type="http://schemas.openxmlformats.org/officeDocument/2006/relationships/hyperlink" Target="https://propertyindustryeye.com/renters-reform-bill-leaked-letter-leads-to-accusation-of-disgraceful-betrayal/" TargetMode="External"/><Relationship Id="rId12" Type="http://schemas.openxmlformats.org/officeDocument/2006/relationships/hyperlink" Target="https://www.egi.co.uk/legal/a-wedding-gift-for-the-wealthy/" TargetMode="External"/><Relationship Id="rId2" Type="http://schemas.openxmlformats.org/officeDocument/2006/relationships/hyperlink" Target="https://www.bbc.co.uk/news/uk-politics-64555909" TargetMode="External"/><Relationship Id="rId1" Type="http://schemas.openxmlformats.org/officeDocument/2006/relationships/hyperlink" Target="https://www.gov.uk/government/speeches/long-term-plan-for-housing-secretary-of-states-speech" TargetMode="External"/><Relationship Id="rId6" Type="http://schemas.openxmlformats.org/officeDocument/2006/relationships/hyperlink" Target="https://www.cla.org.uk/news/loss-of-rural-properties-projected-cla-english-housing-survey-results/" TargetMode="External"/><Relationship Id="rId11" Type="http://schemas.openxmlformats.org/officeDocument/2006/relationships/hyperlink" Target="https://hansard.parliament.uk/lords/2024-04-22/debates/2A433C7B-A65D-4149-94BE-923D615BBCB4/LeaseholdAndFreeholdReformBill" TargetMode="External"/><Relationship Id="rId5" Type="http://schemas.openxmlformats.org/officeDocument/2006/relationships/hyperlink" Target="https://hansard.parliament.uk/commons/2023-10-23/debates/E9FEB6DF-B896-4579-918F-8E99F7A35AAD/Renters(Reform)Bill" TargetMode="External"/><Relationship Id="rId10" Type="http://schemas.openxmlformats.org/officeDocument/2006/relationships/hyperlink" Target="https://www.gov.uk/government/news/leasehold-reforms-give-more-rights-and-protections-to-homeowners" TargetMode="External"/><Relationship Id="rId4" Type="http://schemas.openxmlformats.org/officeDocument/2006/relationships/hyperlink" Target="https://www.ft.com/content/565880ad-c0d0-4a70-a6b7-189feb41f805" TargetMode="External"/><Relationship Id="rId9" Type="http://schemas.openxmlformats.org/officeDocument/2006/relationships/hyperlink" Target="https://www.johnhodge.co.uk/site/blog/conveyancing/the-leasehold-and-freehold-reform-bill-a-new-dawn-or-a-missed-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nor.rutherford@forst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80F5-ED2F-4F55-8BD7-4F1BD843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566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FORSTERS LLP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Rutherford</dc:creator>
  <cp:keywords/>
  <dc:description/>
  <cp:lastModifiedBy>Connor Rutherford</cp:lastModifiedBy>
  <cp:revision>24</cp:revision>
  <cp:lastPrinted>2024-05-24T10:44:00Z</cp:lastPrinted>
  <dcterms:created xsi:type="dcterms:W3CDTF">2024-05-24T08:28:00Z</dcterms:created>
  <dcterms:modified xsi:type="dcterms:W3CDTF">2024-05-24T10:57:00Z</dcterms:modified>
</cp:coreProperties>
</file>